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F1" w:rsidRDefault="00C70EF1" w:rsidP="00C70EF1">
      <w:pPr>
        <w:pStyle w:val="a3"/>
        <w:rPr>
          <w:rFonts w:ascii="Arial" w:hAnsi="Arial" w:cs="Arial"/>
          <w:color w:val="000000"/>
          <w:sz w:val="18"/>
          <w:szCs w:val="18"/>
        </w:rPr>
      </w:pPr>
    </w:p>
    <w:p w:rsidR="00C70EF1" w:rsidRPr="00C70EF1" w:rsidRDefault="00C70EF1" w:rsidP="00C70EF1">
      <w:pPr>
        <w:pStyle w:val="a3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bookmarkStart w:id="0" w:name="_GoBack"/>
      <w:r w:rsidRPr="00C70EF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Ошибки при заполнении платёжного документа могут привести к неуплате налога</w:t>
      </w:r>
    </w:p>
    <w:bookmarkEnd w:id="0"/>
    <w:p w:rsidR="00C70EF1" w:rsidRPr="00C70EF1" w:rsidRDefault="00C70EF1" w:rsidP="00C70EF1">
      <w:pPr>
        <w:pStyle w:val="a3"/>
        <w:rPr>
          <w:rFonts w:ascii="Arial" w:hAnsi="Arial" w:cs="Arial"/>
          <w:color w:val="000000"/>
          <w:sz w:val="18"/>
          <w:szCs w:val="18"/>
        </w:rPr>
      </w:pPr>
      <w:r w:rsidRPr="00C70EF1">
        <w:rPr>
          <w:rFonts w:ascii="Arial" w:hAnsi="Arial" w:cs="Arial"/>
          <w:color w:val="000000"/>
          <w:sz w:val="18"/>
          <w:szCs w:val="18"/>
        </w:rPr>
        <w:t>Неправильное заполнение платёжных документов может привести к тому, что налог не будет уплачен.  ФНС России провела анализ и выявила наиболее распространённые ошибки. Чаще всего они связаны с неверно указанным счётом Федерального казначейства, наименованием банка и кодом бюджетной классификации (КБК).</w:t>
      </w:r>
    </w:p>
    <w:p w:rsidR="00C70EF1" w:rsidRPr="00C70EF1" w:rsidRDefault="00C70EF1" w:rsidP="00C70E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Напоминаем, что теперь налоги и взносы можно оплачивать через единый налоговый счёт (ЕНС). Это можно сделать, используя единый налоговый платёж (ЕНП).</w:t>
      </w:r>
    </w:p>
    <w:p w:rsidR="00C70EF1" w:rsidRPr="00C70EF1" w:rsidRDefault="00C70EF1" w:rsidP="00C70E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Когда вы вносите деньги на единый налоговый счёт, они автоматически распределяются между различными налоговыми обязательствами в определённом порядке. Сначала погашается недоимка по налогу на доходы физических лиц, начиная с самого раннего момента её возникновения. Затем идёт погашение налога на доходы физических лиц, с момента, когда налоговый агент должен был его перечислить.  После этого погашается недоимка по другим налогам, сборам и страховым взносам, начиная с самого раннего момента её возникновения. Затем идут другие налоги, авансовые платежи, сборы и страховые взносы, которые необходимо было уплатить с момента возникновения обязанности.  После этого погашаются пени. Затем проценты.  И, наконец, штрафы. </w:t>
      </w:r>
    </w:p>
    <w:p w:rsidR="00C70EF1" w:rsidRPr="00C70EF1" w:rsidRDefault="00C70EF1" w:rsidP="00C70E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оплате налогов, сборов и других обязательных платежей, которые контролируются налоговыми органами, необходимо указать следующие реквизиты:</w:t>
      </w:r>
    </w:p>
    <w:p w:rsidR="00C70EF1" w:rsidRPr="00C70EF1" w:rsidRDefault="00C70EF1" w:rsidP="00C70E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Банк получателя: ОТДЕЛЕНИЕ ТУЛА БАНКА РОССИИ//УФК по Тульской области, город Тула;</w:t>
      </w:r>
    </w:p>
    <w:p w:rsidR="00C70EF1" w:rsidRPr="00C70EF1" w:rsidRDefault="00C70EF1" w:rsidP="00C70E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БИК банка получателя: 017003983;</w:t>
      </w:r>
    </w:p>
    <w:p w:rsidR="00C70EF1" w:rsidRPr="00C70EF1" w:rsidRDefault="00C70EF1" w:rsidP="00C70E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Счет банка получателя: 40102810445370000059;</w:t>
      </w:r>
    </w:p>
    <w:p w:rsidR="00C70EF1" w:rsidRPr="00C70EF1" w:rsidRDefault="00C70EF1" w:rsidP="00C70E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Счет получателя: 03100643000000018500;</w:t>
      </w:r>
    </w:p>
    <w:p w:rsidR="00C70EF1" w:rsidRPr="00C70EF1" w:rsidRDefault="00C70EF1" w:rsidP="00C70E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Получатель: Казначейство России (ФНС России);</w:t>
      </w:r>
    </w:p>
    <w:p w:rsidR="00C70EF1" w:rsidRPr="00C70EF1" w:rsidRDefault="00C70EF1" w:rsidP="00C70E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ИНН получателя: 7727406020;</w:t>
      </w:r>
    </w:p>
    <w:p w:rsidR="00C70EF1" w:rsidRPr="00C70EF1" w:rsidRDefault="00C70EF1" w:rsidP="00C70E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КПП получателя: 770801001. </w:t>
      </w:r>
    </w:p>
    <w:p w:rsidR="00C70EF1" w:rsidRPr="00C70EF1" w:rsidRDefault="00C70EF1" w:rsidP="00C70E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Единый налоговый платёж включает в себя налоги, порядок уплаты которых определён НК РФ. К таким налогам относятся: НДС; налог на прибыль; страховые взносы; налоги по упрощённой и патентной системам налогообложения; единый сельскохозяйственный налог; НДФЛ; акцизы; имущественные налоги.</w:t>
      </w:r>
    </w:p>
    <w:p w:rsidR="00C70EF1" w:rsidRPr="00C70EF1" w:rsidRDefault="00C70EF1" w:rsidP="00C70E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Единым налоговым платежом уплачиваются: налог на профессиональный доход; сборы за пользование объектами животного мира; сборы за пользование объектами водных биологических ресурсов.</w:t>
      </w:r>
    </w:p>
    <w:p w:rsidR="00C70EF1" w:rsidRPr="00C70EF1" w:rsidRDefault="00C70EF1" w:rsidP="00C70E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Отдельными платежами уплачиваются: НДФЛ с выплат иностранцам с патентом; различные виды пошлин, включая те, по которым суд не выдал исполнительный документ (статья 11 НК РФ); административные штрафы.</w:t>
      </w:r>
    </w:p>
    <w:p w:rsidR="00C70EF1" w:rsidRPr="00C70EF1" w:rsidRDefault="00C70EF1" w:rsidP="00C70E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1 января 2024 года утратили силу положения, которые позволяли указывать КБК конкретного налога в расчётном документе при представлении поручения как уведомления об исчисленных суммах налогов, сборов, авансовых платежей по налогам, страховых взносов. Чтобы избежать ошибок при пополнении Единого налогового счёта, можно воспользоваться онлайн-сервисами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сайте ФНС России </w:t>
      </w: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hyperlink r:id="rId6" w:tgtFrame="_blank" w:history="1">
        <w:r w:rsidRPr="00C70EF1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Уплата налогов и пошлин</w:t>
        </w:r>
      </w:hyperlink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r w:rsidRPr="00C70EF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7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https://clck.ru/3CZfTT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</w:t>
      </w: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«</w:t>
      </w:r>
      <w:hyperlink r:id="rId8" w:tgtFrame="_blank" w:history="1">
        <w:r w:rsidRPr="00C70EF1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Личный кабинет налогоплательщика</w:t>
        </w:r>
      </w:hyperlink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hyperlink r:id="rId9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https://clck.ru/3CZfq3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 этих сервисах платёжные реквизиты подтягиваются автоматически.</w:t>
      </w:r>
    </w:p>
    <w:p w:rsidR="00C70EF1" w:rsidRPr="00C70EF1" w:rsidRDefault="00C70EF1" w:rsidP="00C70E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Дополнительную информацию о порядке учёта начислений и платежей по налогам и страховым взносам можно найти в разделе «</w:t>
      </w:r>
      <w:hyperlink r:id="rId10" w:tgtFrame="_blank" w:history="1">
        <w:r w:rsidRPr="00C70EF1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Всё о ЕНС</w:t>
        </w:r>
      </w:hyperlink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сайте ФНС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Росии</w:t>
      </w:r>
      <w:proofErr w:type="spellEnd"/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Подробную инструкцию по заполнению платёжных документов можно увидеть по </w:t>
      </w:r>
      <w:hyperlink r:id="rId11" w:tgtFrame="_blank" w:history="1">
        <w:r w:rsidRPr="00C70EF1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ссылке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hyperlink r:id="rId12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https://clck.ru/3CZdN7</w:t>
        </w:r>
      </w:hyperlink>
      <w:r>
        <w:t>)</w:t>
      </w:r>
      <w:r w:rsidRPr="00C70E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70EF1" w:rsidRDefault="00C70EF1"/>
    <w:sectPr w:rsidR="00C7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6F02"/>
    <w:multiLevelType w:val="multilevel"/>
    <w:tmpl w:val="F052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F5"/>
    <w:rsid w:val="00536231"/>
    <w:rsid w:val="008A64F5"/>
    <w:rsid w:val="00C7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0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0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09/ens/?clckid=42f563e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clck.ru%2F3CZfTT&amp;post=-218187644_558&amp;cc_key=" TargetMode="External"/><Relationship Id="rId12" Type="http://schemas.openxmlformats.org/officeDocument/2006/relationships/hyperlink" Target="https://vk.com/away.php?to=https%3A%2F%2Fclck.ru%2F3CZdN7&amp;post=-218187644_558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CZfTT" TargetMode="External"/><Relationship Id="rId11" Type="http://schemas.openxmlformats.org/officeDocument/2006/relationships/hyperlink" Target="https://clck.ru/3CZdN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09/ens/?clckid=42f563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clck.ru%2F3CZfq3&amp;post=-218187644_558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Мамхягова Татьяна Владимировна</dc:creator>
  <cp:keywords/>
  <dc:description/>
  <cp:lastModifiedBy>Мамхягова Татьяна Владимировна</cp:lastModifiedBy>
  <cp:revision>2</cp:revision>
  <dcterms:created xsi:type="dcterms:W3CDTF">2024-08-15T11:59:00Z</dcterms:created>
  <dcterms:modified xsi:type="dcterms:W3CDTF">2024-08-15T12:02:00Z</dcterms:modified>
</cp:coreProperties>
</file>